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D39" w:rsidRDefault="00EE5D39" w:rsidP="00EE5D39">
      <w:pPr>
        <w:bidi/>
        <w:jc w:val="center"/>
        <w:rPr>
          <w:rFonts w:ascii="SST Arabic" w:hAnsi="SST Arabic" w:cs="SST Arabic"/>
          <w:b/>
          <w:bCs/>
          <w:sz w:val="28"/>
          <w:szCs w:val="28"/>
          <w:rtl/>
        </w:rPr>
      </w:pPr>
      <w:proofErr w:type="spellStart"/>
      <w:r>
        <w:rPr>
          <w:rFonts w:ascii="SST Arabic" w:hAnsi="SST Arabic" w:cs="SST Arabic" w:hint="cs"/>
          <w:b/>
          <w:bCs/>
          <w:sz w:val="28"/>
          <w:szCs w:val="28"/>
          <w:rtl/>
        </w:rPr>
        <w:t>القرارت</w:t>
      </w:r>
      <w:proofErr w:type="spellEnd"/>
      <w:r>
        <w:rPr>
          <w:rFonts w:ascii="SST Arabic" w:hAnsi="SST Arabic" w:cs="SST Arabic" w:hint="cs"/>
          <w:b/>
          <w:bCs/>
          <w:sz w:val="28"/>
          <w:szCs w:val="28"/>
          <w:rtl/>
        </w:rPr>
        <w:t xml:space="preserve"> والتعاميم الخاصة بالضريبة الانتقائية</w:t>
      </w:r>
    </w:p>
    <w:p w:rsidR="00EE5D39" w:rsidRPr="00EE5D39" w:rsidRDefault="00EE5D39" w:rsidP="00A5353F">
      <w:pPr>
        <w:bidi/>
        <w:jc w:val="both"/>
        <w:rPr>
          <w:rFonts w:ascii="SST Arabic Light" w:hAnsi="SST Arabic Light" w:cs="SST Arabic Light"/>
          <w:sz w:val="24"/>
          <w:szCs w:val="24"/>
        </w:rPr>
      </w:pPr>
      <w:r w:rsidRPr="00EE5D39">
        <w:rPr>
          <w:rFonts w:ascii="SST Arabic Light" w:hAnsi="SST Arabic Light" w:cs="SST Arabic Light"/>
          <w:b/>
          <w:bCs/>
          <w:sz w:val="28"/>
          <w:szCs w:val="28"/>
          <w:rtl/>
        </w:rPr>
        <w:t>أولاً:</w:t>
      </w:r>
      <w:r w:rsidRPr="00EE5D39">
        <w:rPr>
          <w:rFonts w:ascii="SST Arabic Light" w:hAnsi="SST Arabic Light" w:cs="SST Arabic Light"/>
          <w:sz w:val="28"/>
          <w:szCs w:val="28"/>
          <w:rtl/>
        </w:rPr>
        <w:t xml:space="preserve"> </w:t>
      </w:r>
      <w:r w:rsidR="00A5353F">
        <w:rPr>
          <w:rFonts w:ascii="SST Arabic Light" w:hAnsi="SST Arabic Light" w:cs="SST Arabic Light" w:hint="cs"/>
          <w:sz w:val="24"/>
          <w:szCs w:val="24"/>
          <w:rtl/>
        </w:rPr>
        <w:t xml:space="preserve">بناءً على </w:t>
      </w:r>
      <w:r w:rsidR="00A5353F">
        <w:rPr>
          <w:rFonts w:ascii="SST Arabic Light" w:hAnsi="SST Arabic Light" w:cs="SST Arabic Light"/>
          <w:sz w:val="24"/>
          <w:szCs w:val="24"/>
          <w:rtl/>
        </w:rPr>
        <w:t xml:space="preserve">المادة </w:t>
      </w:r>
      <w:r w:rsidR="00A5353F">
        <w:rPr>
          <w:rFonts w:ascii="SST Arabic Light" w:hAnsi="SST Arabic Light" w:cs="SST Arabic Light" w:hint="cs"/>
          <w:sz w:val="24"/>
          <w:szCs w:val="24"/>
          <w:rtl/>
        </w:rPr>
        <w:t>الخامسة والعشرين</w:t>
      </w:r>
      <w:r w:rsidRPr="00EE5D39">
        <w:rPr>
          <w:rFonts w:ascii="SST Arabic Light" w:hAnsi="SST Arabic Light" w:cs="SST Arabic Light"/>
          <w:sz w:val="24"/>
          <w:szCs w:val="24"/>
          <w:rtl/>
        </w:rPr>
        <w:t xml:space="preserve"> من الاتفاقية الموحدة للضريبة الانتقائية لدول مجلس التعاون لدول الخليج العربية</w:t>
      </w:r>
      <w:r w:rsidRPr="00EE5D39">
        <w:rPr>
          <w:rFonts w:ascii="SST Arabic Light" w:hAnsi="SST Arabic Light" w:cs="SST Arabic Light"/>
          <w:sz w:val="24"/>
          <w:szCs w:val="24"/>
        </w:rPr>
        <w:t xml:space="preserve"> </w:t>
      </w:r>
      <w:r w:rsidRPr="00EE5D39">
        <w:rPr>
          <w:rFonts w:ascii="SST Arabic Light" w:hAnsi="SST Arabic Light" w:cs="SST Arabic Light"/>
          <w:sz w:val="24"/>
          <w:szCs w:val="24"/>
          <w:rtl/>
        </w:rPr>
        <w:t xml:space="preserve">والتي نصت على" تختص اللجنة الوزارية بوضع القواعد والشروط اللازمة لتطبيق هذه الاتفاقية وتفسيرها"، </w:t>
      </w:r>
      <w:r w:rsidR="00A5353F">
        <w:rPr>
          <w:rFonts w:ascii="SST Arabic Light" w:hAnsi="SST Arabic Light" w:cs="SST Arabic Light" w:hint="cs"/>
          <w:sz w:val="24"/>
          <w:szCs w:val="24"/>
          <w:rtl/>
        </w:rPr>
        <w:t>فقد</w:t>
      </w:r>
      <w:r w:rsidRPr="00EE5D39">
        <w:rPr>
          <w:rFonts w:ascii="SST Arabic Light" w:hAnsi="SST Arabic Light" w:cs="SST Arabic Light"/>
          <w:sz w:val="24"/>
          <w:szCs w:val="24"/>
          <w:rtl/>
        </w:rPr>
        <w:t xml:space="preserve"> صدر محضر الاجتماع السادس بعد المئة للجنة التعاون المالي والاقتصادي المتضمن في البند رابعاً "اعتماد التعريفات للمشروبات الغازية ومشروبات الطاقة وفق الصيغة المرفقة" وهي: </w:t>
      </w:r>
    </w:p>
    <w:p w:rsidR="00EE5D39" w:rsidRPr="00EE5D39" w:rsidRDefault="00EE5D39" w:rsidP="00EE5D39">
      <w:pPr>
        <w:pStyle w:val="NoSpacing"/>
        <w:numPr>
          <w:ilvl w:val="0"/>
          <w:numId w:val="1"/>
        </w:numPr>
        <w:bidi/>
        <w:jc w:val="both"/>
        <w:rPr>
          <w:rFonts w:ascii="SST Arabic Light" w:hAnsi="SST Arabic Light" w:cs="SST Arabic Light"/>
          <w:color w:val="auto"/>
          <w:sz w:val="32"/>
          <w:szCs w:val="32"/>
        </w:rPr>
      </w:pPr>
      <w:r w:rsidRPr="00EE5D39">
        <w:rPr>
          <w:rFonts w:ascii="SST Arabic Light" w:hAnsi="SST Arabic Light" w:cs="SST Arabic Light"/>
          <w:b/>
          <w:bCs/>
          <w:color w:val="auto"/>
          <w:sz w:val="24"/>
          <w:szCs w:val="24"/>
          <w:rtl/>
        </w:rPr>
        <w:t>المشروبات الغازية:</w:t>
      </w:r>
      <w:r w:rsidRPr="00EE5D39">
        <w:rPr>
          <w:rFonts w:ascii="SST Arabic Light" w:hAnsi="SST Arabic Light" w:cs="SST Arabic Light"/>
          <w:color w:val="auto"/>
          <w:rtl/>
        </w:rPr>
        <w:t xml:space="preserve"> </w:t>
      </w:r>
      <w:r w:rsidRPr="00EE5D39">
        <w:rPr>
          <w:rFonts w:ascii="SST Arabic Light" w:hAnsi="SST Arabic Light" w:cs="SST Arabic Light"/>
          <w:color w:val="auto"/>
          <w:sz w:val="24"/>
          <w:szCs w:val="24"/>
          <w:rtl/>
        </w:rPr>
        <w:t xml:space="preserve">أي مشروبات تحتوي على الغاز باستثناء المياه الغازية غير </w:t>
      </w:r>
      <w:r w:rsidRPr="00EE5D39">
        <w:rPr>
          <w:rFonts w:ascii="SST Arabic Light" w:hAnsi="SST Arabic Light" w:cs="SST Arabic Light" w:hint="cs"/>
          <w:color w:val="auto"/>
          <w:sz w:val="24"/>
          <w:szCs w:val="24"/>
          <w:rtl/>
        </w:rPr>
        <w:t>المنهكة.</w:t>
      </w:r>
      <w:r w:rsidRPr="00EE5D39">
        <w:rPr>
          <w:rFonts w:ascii="SST Arabic Light" w:hAnsi="SST Arabic Light" w:cs="SST Arabic Light"/>
          <w:color w:val="auto"/>
          <w:sz w:val="24"/>
          <w:szCs w:val="24"/>
          <w:rtl/>
        </w:rPr>
        <w:t xml:space="preserve"> وتعد من المشروبات الغازية أية مُركّزات أو مساحيق أو جل أو مستخلصات يمكن تحويلها إلى مشروبات غازية.</w:t>
      </w:r>
    </w:p>
    <w:p w:rsidR="00EE5D39" w:rsidRPr="00EE5D39" w:rsidRDefault="00EE5D39" w:rsidP="00EE5D39">
      <w:pPr>
        <w:pStyle w:val="NoSpacing"/>
        <w:numPr>
          <w:ilvl w:val="0"/>
          <w:numId w:val="1"/>
        </w:numPr>
        <w:bidi/>
        <w:jc w:val="both"/>
        <w:rPr>
          <w:rFonts w:ascii="SST Arabic Light" w:hAnsi="SST Arabic Light" w:cs="SST Arabic Light"/>
          <w:color w:val="auto"/>
          <w:sz w:val="24"/>
          <w:szCs w:val="24"/>
          <w:rtl/>
        </w:rPr>
      </w:pPr>
      <w:r w:rsidRPr="00EE5D39">
        <w:rPr>
          <w:rFonts w:ascii="SST Arabic Light" w:hAnsi="SST Arabic Light" w:cs="SST Arabic Light"/>
          <w:b/>
          <w:bCs/>
          <w:color w:val="auto"/>
          <w:sz w:val="24"/>
          <w:szCs w:val="24"/>
          <w:rtl/>
        </w:rPr>
        <w:t>مشروبات الطاقة:</w:t>
      </w:r>
      <w:r w:rsidRPr="00EE5D39">
        <w:rPr>
          <w:rFonts w:ascii="SST Arabic Light" w:hAnsi="SST Arabic Light" w:cs="SST Arabic Light"/>
          <w:color w:val="auto"/>
          <w:sz w:val="24"/>
          <w:szCs w:val="24"/>
          <w:rtl/>
        </w:rPr>
        <w:t xml:space="preserve"> أي مشروبات يتم تسويقها أو بيعها على أنها مشروبات للطاقة قد تحتوي على مواد منبهة أو تمنح التحفيز العقلي أو البدني وتشمل على سبيل المثال لا الحصر: الكافيين والتورين </w:t>
      </w:r>
      <w:proofErr w:type="spellStart"/>
      <w:r w:rsidRPr="00EE5D39">
        <w:rPr>
          <w:rFonts w:ascii="SST Arabic Light" w:hAnsi="SST Arabic Light" w:cs="SST Arabic Light"/>
          <w:color w:val="auto"/>
          <w:sz w:val="24"/>
          <w:szCs w:val="24"/>
          <w:rtl/>
        </w:rPr>
        <w:t>والجنسينج</w:t>
      </w:r>
      <w:proofErr w:type="spellEnd"/>
      <w:r w:rsidRPr="00EE5D39">
        <w:rPr>
          <w:rFonts w:ascii="SST Arabic Light" w:hAnsi="SST Arabic Light" w:cs="SST Arabic Light"/>
          <w:color w:val="auto"/>
          <w:sz w:val="24"/>
          <w:szCs w:val="24"/>
          <w:rtl/>
        </w:rPr>
        <w:t xml:space="preserve"> </w:t>
      </w:r>
      <w:proofErr w:type="spellStart"/>
      <w:r w:rsidRPr="00EE5D39">
        <w:rPr>
          <w:rFonts w:ascii="SST Arabic Light" w:hAnsi="SST Arabic Light" w:cs="SST Arabic Light"/>
          <w:color w:val="auto"/>
          <w:sz w:val="24"/>
          <w:szCs w:val="24"/>
          <w:rtl/>
        </w:rPr>
        <w:t>والجوارانا</w:t>
      </w:r>
      <w:proofErr w:type="spellEnd"/>
      <w:r w:rsidRPr="00EE5D39">
        <w:rPr>
          <w:rFonts w:ascii="SST Arabic Light" w:hAnsi="SST Arabic Light" w:cs="SST Arabic Light"/>
          <w:color w:val="auto"/>
          <w:sz w:val="24"/>
          <w:szCs w:val="24"/>
          <w:rtl/>
        </w:rPr>
        <w:t>. كما تشمل أي مواد لها تأثير مطابق أو مشابه للمواد المذكورة. وتعد من مشروبات الطاقة أية مُركّزات أو مساحيق أو جل أو مستخلصات يمكن تحويلها إلى مشروبات طاقة.</w:t>
      </w:r>
    </w:p>
    <w:p w:rsidR="00EE5D39" w:rsidRPr="00EE5D39" w:rsidRDefault="00EE5D39" w:rsidP="00EE5D39">
      <w:pPr>
        <w:pStyle w:val="NoSpacing"/>
        <w:numPr>
          <w:ilvl w:val="0"/>
          <w:numId w:val="1"/>
        </w:numPr>
        <w:bidi/>
        <w:jc w:val="both"/>
        <w:rPr>
          <w:rFonts w:ascii="SST Arabic Light" w:hAnsi="SST Arabic Light" w:cs="SST Arabic Light"/>
          <w:color w:val="auto"/>
          <w:sz w:val="24"/>
          <w:szCs w:val="24"/>
        </w:rPr>
      </w:pPr>
      <w:r w:rsidRPr="00EE5D39">
        <w:rPr>
          <w:rFonts w:ascii="SST Arabic Light" w:hAnsi="SST Arabic Light" w:cs="SST Arabic Light"/>
          <w:b/>
          <w:bCs/>
          <w:color w:val="auto"/>
          <w:sz w:val="24"/>
          <w:szCs w:val="24"/>
          <w:rtl/>
        </w:rPr>
        <w:t>التبغ ومشتقاته</w:t>
      </w:r>
      <w:r w:rsidRPr="00EE5D39">
        <w:rPr>
          <w:rFonts w:ascii="SST Arabic Light" w:hAnsi="SST Arabic Light" w:cs="SST Arabic Light"/>
          <w:color w:val="auto"/>
          <w:sz w:val="24"/>
          <w:szCs w:val="24"/>
          <w:rtl/>
        </w:rPr>
        <w:t>: تحتسب الضريبة على التبغ ومشتقاته الواردة في الفصل 24 من التعريفة الجمركية الموحدة لدول المجلس</w:t>
      </w:r>
      <w:r w:rsidRPr="00EE5D39">
        <w:rPr>
          <w:rFonts w:ascii="SST Arabic Light" w:hAnsi="SST Arabic Light" w:cs="SST Arabic Light"/>
          <w:color w:val="auto"/>
          <w:sz w:val="24"/>
          <w:szCs w:val="24"/>
        </w:rPr>
        <w:t>.</w:t>
      </w:r>
    </w:p>
    <w:p w:rsidR="00EE5D39" w:rsidRPr="00EE5D39" w:rsidRDefault="00A5353F" w:rsidP="00A5353F">
      <w:pPr>
        <w:bidi/>
        <w:jc w:val="both"/>
        <w:rPr>
          <w:rFonts w:ascii="SST Arabic Light" w:hAnsi="SST Arabic Light" w:cs="SST Arabic Light"/>
          <w:sz w:val="24"/>
          <w:szCs w:val="24"/>
          <w:rtl/>
        </w:rPr>
      </w:pPr>
      <w:r>
        <w:rPr>
          <w:rFonts w:ascii="SST Arabic Light" w:hAnsi="SST Arabic Light" w:cs="SST Arabic Light"/>
          <w:b/>
          <w:bCs/>
          <w:sz w:val="24"/>
          <w:szCs w:val="24"/>
          <w:rtl/>
        </w:rPr>
        <w:t>ثانياً:</w:t>
      </w:r>
      <w:r>
        <w:rPr>
          <w:rFonts w:ascii="SST Arabic Light" w:hAnsi="SST Arabic Light" w:cs="SST Arabic Light" w:hint="cs"/>
          <w:b/>
          <w:bCs/>
          <w:sz w:val="24"/>
          <w:szCs w:val="24"/>
          <w:rtl/>
        </w:rPr>
        <w:t xml:space="preserve"> </w:t>
      </w:r>
      <w:r w:rsidR="00EE5D39" w:rsidRPr="00EE5D39">
        <w:rPr>
          <w:rFonts w:ascii="SST Arabic Light" w:hAnsi="SST Arabic Light" w:cs="SST Arabic Light"/>
          <w:sz w:val="24"/>
          <w:szCs w:val="24"/>
          <w:rtl/>
        </w:rPr>
        <w:t>تعميم معالي محافظ الهيئة العامة للزكاة والدخل رقم 8</w:t>
      </w:r>
      <w:r>
        <w:rPr>
          <w:rFonts w:ascii="SST Arabic Light" w:hAnsi="SST Arabic Light" w:cs="SST Arabic Light"/>
          <w:sz w:val="24"/>
          <w:szCs w:val="24"/>
          <w:rtl/>
        </w:rPr>
        <w:t>824/19/1439 وتاريخ 06/02/1439هـ</w:t>
      </w:r>
      <w:r>
        <w:rPr>
          <w:rFonts w:ascii="SST Arabic Light" w:hAnsi="SST Arabic Light" w:cs="SST Arabic Light" w:hint="cs"/>
          <w:sz w:val="24"/>
          <w:szCs w:val="24"/>
          <w:rtl/>
        </w:rPr>
        <w:t>، بشأن</w:t>
      </w:r>
      <w:r w:rsidR="00EE5D39" w:rsidRPr="00EE5D39">
        <w:rPr>
          <w:rFonts w:ascii="SST Arabic Light" w:hAnsi="SST Arabic Light" w:cs="SST Arabic Light"/>
          <w:sz w:val="24"/>
          <w:szCs w:val="24"/>
          <w:rtl/>
        </w:rPr>
        <w:t xml:space="preserve"> طريقة احتساب الضريبة الانتقائية لأسطوانات مركزات المكائن، فإن احتساب الضريبة يكون وفقاً لمعادلة التالية:</w:t>
      </w:r>
    </w:p>
    <w:p w:rsidR="00EE5D39" w:rsidRPr="00EE5D39" w:rsidRDefault="00EE5D39" w:rsidP="00EE5D39">
      <w:pPr>
        <w:bidi/>
        <w:jc w:val="both"/>
        <w:rPr>
          <w:rFonts w:ascii="SST Arabic Light" w:hAnsi="SST Arabic Light" w:cs="SST Arabic Light"/>
          <w:sz w:val="24"/>
          <w:szCs w:val="24"/>
          <w:rtl/>
        </w:rPr>
      </w:pPr>
      <w:r w:rsidRPr="00EE5D39">
        <w:rPr>
          <w:rFonts w:ascii="SST Arabic Light" w:hAnsi="SST Arabic Light" w:cs="SST Arabic Light"/>
          <w:sz w:val="24"/>
          <w:szCs w:val="24"/>
          <w:rtl/>
        </w:rPr>
        <w:t xml:space="preserve">(سعر بيع الأسطوانة شامل الضريبة= حجم الأسطوانة </w:t>
      </w:r>
      <w:r w:rsidRPr="00EE5D39">
        <w:rPr>
          <w:rFonts w:ascii="SST Arabic Light" w:hAnsi="SST Arabic Light" w:cs="SST Arabic Light"/>
          <w:sz w:val="24"/>
          <w:szCs w:val="24"/>
        </w:rPr>
        <w:t>x</w:t>
      </w:r>
      <w:r w:rsidRPr="00EE5D39">
        <w:rPr>
          <w:rFonts w:ascii="SST Arabic Light" w:hAnsi="SST Arabic Light" w:cs="SST Arabic Light"/>
          <w:sz w:val="24"/>
          <w:szCs w:val="24"/>
          <w:rtl/>
        </w:rPr>
        <w:t xml:space="preserve"> معامل التحويل </w:t>
      </w:r>
      <w:r w:rsidRPr="00EE5D39">
        <w:rPr>
          <w:rFonts w:ascii="SST Arabic Light" w:hAnsi="SST Arabic Light" w:cs="SST Arabic Light"/>
          <w:sz w:val="24"/>
          <w:szCs w:val="24"/>
        </w:rPr>
        <w:t xml:space="preserve">x </w:t>
      </w:r>
      <w:r w:rsidRPr="00EE5D39">
        <w:rPr>
          <w:rFonts w:ascii="SST Arabic Light" w:hAnsi="SST Arabic Light" w:cs="SST Arabic Light"/>
          <w:sz w:val="24"/>
          <w:szCs w:val="24"/>
          <w:rtl/>
        </w:rPr>
        <w:t>سعر بيع المنتج النهائي)</w:t>
      </w:r>
    </w:p>
    <w:p w:rsidR="00EE5D39" w:rsidRPr="00EE5D39" w:rsidRDefault="00EE5D39" w:rsidP="00EE5D39">
      <w:pPr>
        <w:bidi/>
        <w:jc w:val="both"/>
        <w:rPr>
          <w:rFonts w:ascii="SST Arabic Light" w:hAnsi="SST Arabic Light" w:cs="SST Arabic Light"/>
          <w:sz w:val="24"/>
          <w:szCs w:val="24"/>
          <w:rtl/>
        </w:rPr>
      </w:pPr>
      <w:r w:rsidRPr="00EE5D39">
        <w:rPr>
          <w:rFonts w:ascii="SST Arabic Light" w:hAnsi="SST Arabic Light" w:cs="SST Arabic Light"/>
          <w:sz w:val="24"/>
          <w:szCs w:val="24"/>
          <w:rtl/>
        </w:rPr>
        <w:t>حيث أن:</w:t>
      </w:r>
    </w:p>
    <w:p w:rsidR="00EE5D39" w:rsidRPr="00EE5D39" w:rsidRDefault="00EE5D39" w:rsidP="00EE5D39">
      <w:pPr>
        <w:pStyle w:val="ListParagraph"/>
        <w:numPr>
          <w:ilvl w:val="0"/>
          <w:numId w:val="2"/>
        </w:numPr>
        <w:bidi/>
        <w:jc w:val="both"/>
        <w:rPr>
          <w:rFonts w:ascii="SST Arabic Light" w:hAnsi="SST Arabic Light" w:cs="SST Arabic Light"/>
          <w:sz w:val="24"/>
          <w:szCs w:val="24"/>
          <w:rtl/>
        </w:rPr>
      </w:pPr>
      <w:r w:rsidRPr="00EE5D39">
        <w:rPr>
          <w:rFonts w:ascii="SST Arabic Light" w:hAnsi="SST Arabic Light" w:cs="SST Arabic Light"/>
          <w:sz w:val="24"/>
          <w:szCs w:val="24"/>
          <w:rtl/>
        </w:rPr>
        <w:t>حجم الأسطوانة: يقاس بوحدة اللتر.</w:t>
      </w:r>
    </w:p>
    <w:p w:rsidR="00EE5D39" w:rsidRPr="00EE5D39" w:rsidRDefault="00EE5D39" w:rsidP="00EE5D39">
      <w:pPr>
        <w:pStyle w:val="ListParagraph"/>
        <w:numPr>
          <w:ilvl w:val="0"/>
          <w:numId w:val="2"/>
        </w:numPr>
        <w:bidi/>
        <w:jc w:val="both"/>
        <w:rPr>
          <w:rFonts w:ascii="SST Arabic Light" w:hAnsi="SST Arabic Light" w:cs="SST Arabic Light"/>
          <w:sz w:val="24"/>
          <w:szCs w:val="24"/>
          <w:rtl/>
        </w:rPr>
      </w:pPr>
      <w:r w:rsidRPr="00EE5D39">
        <w:rPr>
          <w:rFonts w:ascii="SST Arabic Light" w:hAnsi="SST Arabic Light" w:cs="SST Arabic Light"/>
          <w:sz w:val="24"/>
          <w:szCs w:val="24"/>
          <w:rtl/>
        </w:rPr>
        <w:t>معامل التحويل: كما حددته الشركة المالكة للمنتج لوكيلها في المملكة وذلك لجميع الأصناف.</w:t>
      </w:r>
    </w:p>
    <w:p w:rsidR="00EE5D39" w:rsidRPr="00EE5D39" w:rsidRDefault="00EE5D39" w:rsidP="00EE5D39">
      <w:pPr>
        <w:pStyle w:val="ListParagraph"/>
        <w:numPr>
          <w:ilvl w:val="0"/>
          <w:numId w:val="2"/>
        </w:numPr>
        <w:bidi/>
        <w:jc w:val="both"/>
        <w:rPr>
          <w:rFonts w:ascii="SST Arabic Light" w:hAnsi="SST Arabic Light" w:cs="SST Arabic Light"/>
          <w:sz w:val="24"/>
          <w:szCs w:val="24"/>
        </w:rPr>
      </w:pPr>
      <w:r w:rsidRPr="00EE5D39">
        <w:rPr>
          <w:rFonts w:ascii="SST Arabic Light" w:hAnsi="SST Arabic Light" w:cs="SST Arabic Light"/>
          <w:sz w:val="24"/>
          <w:szCs w:val="24"/>
          <w:rtl/>
        </w:rPr>
        <w:lastRenderedPageBreak/>
        <w:t>سعر بيع المنتج النهائي شامل الضريبة: سعر بيع التجزئة (لعبوة لتر) من المنتج النهائي المطروح في السوق شاملاً الضريبة).</w:t>
      </w:r>
    </w:p>
    <w:p w:rsidR="00EE5D39" w:rsidRPr="00EE5D39" w:rsidRDefault="00EE5D39" w:rsidP="00EE5D39">
      <w:pPr>
        <w:bidi/>
        <w:jc w:val="both"/>
        <w:rPr>
          <w:rFonts w:ascii="SST Arabic Light" w:hAnsi="SST Arabic Light" w:cs="SST Arabic Light"/>
          <w:b/>
          <w:bCs/>
          <w:sz w:val="24"/>
          <w:szCs w:val="24"/>
        </w:rPr>
      </w:pPr>
      <w:r w:rsidRPr="00EE5D39">
        <w:rPr>
          <w:rFonts w:ascii="SST Arabic Light" w:hAnsi="SST Arabic Light" w:cs="SST Arabic Light"/>
          <w:b/>
          <w:bCs/>
          <w:sz w:val="24"/>
          <w:szCs w:val="24"/>
          <w:rtl/>
        </w:rPr>
        <w:t>ثالثاً:</w:t>
      </w:r>
      <w:r w:rsidRPr="00EE5D39">
        <w:rPr>
          <w:rFonts w:ascii="SST Arabic Light" w:hAnsi="SST Arabic Light" w:cs="SST Arabic Light"/>
          <w:sz w:val="24"/>
          <w:szCs w:val="24"/>
          <w:rtl/>
        </w:rPr>
        <w:t xml:space="preserve"> تعميم معالي محافظ الهيئة العامة للزكاة والدخل بشأن احتساب الضريبة الانتقائية على التبغ الخام المستخدم في تعبئة </w:t>
      </w:r>
      <w:r w:rsidRPr="00EE5D39">
        <w:rPr>
          <w:rFonts w:ascii="SST Arabic Light" w:hAnsi="SST Arabic Light" w:cs="SST Arabic Light" w:hint="cs"/>
          <w:sz w:val="24"/>
          <w:szCs w:val="24"/>
          <w:rtl/>
        </w:rPr>
        <w:t>(تخليط</w:t>
      </w:r>
      <w:r w:rsidRPr="00EE5D39">
        <w:rPr>
          <w:rFonts w:ascii="SST Arabic Light" w:hAnsi="SST Arabic Light" w:cs="SST Arabic Light"/>
          <w:sz w:val="24"/>
          <w:szCs w:val="24"/>
          <w:rtl/>
        </w:rPr>
        <w:t>) المعسل، فإن احتساب الضريبة الانتقائية وفقاً للآتي:</w:t>
      </w:r>
    </w:p>
    <w:p w:rsidR="00EE5D39" w:rsidRPr="00EE5D39" w:rsidRDefault="00EE5D39" w:rsidP="00EE5D39">
      <w:pPr>
        <w:bidi/>
        <w:jc w:val="both"/>
        <w:rPr>
          <w:rFonts w:ascii="SST Arabic Light" w:hAnsi="SST Arabic Light" w:cs="SST Arabic Light"/>
          <w:sz w:val="24"/>
          <w:szCs w:val="24"/>
          <w:rtl/>
        </w:rPr>
      </w:pPr>
      <w:r w:rsidRPr="00EE5D39">
        <w:rPr>
          <w:rFonts w:ascii="SST Arabic Light" w:hAnsi="SST Arabic Light" w:cs="SST Arabic Light" w:hint="cs"/>
          <w:sz w:val="24"/>
          <w:szCs w:val="24"/>
          <w:rtl/>
        </w:rPr>
        <w:t>(سعر</w:t>
      </w:r>
      <w:r w:rsidRPr="00EE5D39">
        <w:rPr>
          <w:rFonts w:ascii="SST Arabic Light" w:hAnsi="SST Arabic Light" w:cs="SST Arabic Light"/>
          <w:sz w:val="24"/>
          <w:szCs w:val="24"/>
          <w:rtl/>
        </w:rPr>
        <w:t xml:space="preserve"> بيع المعسل شامل الضريبة= كمية التبغ الناشف أو المخمر </w:t>
      </w:r>
      <w:r w:rsidRPr="00EE5D39">
        <w:rPr>
          <w:rFonts w:ascii="SST Arabic Light" w:hAnsi="SST Arabic Light" w:cs="SST Arabic Light"/>
          <w:sz w:val="24"/>
          <w:szCs w:val="24"/>
        </w:rPr>
        <w:t>x</w:t>
      </w:r>
      <w:r w:rsidRPr="00EE5D39">
        <w:rPr>
          <w:rFonts w:ascii="SST Arabic Light" w:hAnsi="SST Arabic Light" w:cs="SST Arabic Light"/>
          <w:sz w:val="24"/>
          <w:szCs w:val="24"/>
          <w:rtl/>
        </w:rPr>
        <w:t xml:space="preserve"> معامل التخليط </w:t>
      </w:r>
      <w:r w:rsidRPr="00EE5D39">
        <w:rPr>
          <w:rFonts w:ascii="SST Arabic Light" w:hAnsi="SST Arabic Light" w:cs="SST Arabic Light"/>
          <w:sz w:val="24"/>
          <w:szCs w:val="24"/>
        </w:rPr>
        <w:t>x</w:t>
      </w:r>
      <w:r w:rsidRPr="00EE5D39">
        <w:rPr>
          <w:rFonts w:ascii="SST Arabic Light" w:hAnsi="SST Arabic Light" w:cs="SST Arabic Light"/>
          <w:sz w:val="24"/>
          <w:szCs w:val="24"/>
          <w:rtl/>
        </w:rPr>
        <w:t xml:space="preserve"> سعر البيع للمنتج النهائي)</w:t>
      </w:r>
      <w:r>
        <w:rPr>
          <w:rFonts w:ascii="SST Arabic Light" w:hAnsi="SST Arabic Light" w:cs="SST Arabic Light" w:hint="cs"/>
          <w:sz w:val="24"/>
          <w:szCs w:val="24"/>
          <w:rtl/>
        </w:rPr>
        <w:t xml:space="preserve">، </w:t>
      </w:r>
      <w:r w:rsidRPr="00EE5D39">
        <w:rPr>
          <w:rFonts w:ascii="SST Arabic Light" w:hAnsi="SST Arabic Light" w:cs="SST Arabic Light"/>
          <w:sz w:val="24"/>
          <w:szCs w:val="24"/>
          <w:rtl/>
        </w:rPr>
        <w:t>حيث أن:</w:t>
      </w:r>
    </w:p>
    <w:p w:rsidR="00EE5D39" w:rsidRPr="00EE5D39" w:rsidRDefault="00EE5D39" w:rsidP="00EE5D39">
      <w:pPr>
        <w:pStyle w:val="ListParagraph"/>
        <w:numPr>
          <w:ilvl w:val="0"/>
          <w:numId w:val="3"/>
        </w:numPr>
        <w:bidi/>
        <w:jc w:val="both"/>
        <w:rPr>
          <w:rFonts w:ascii="SST Arabic Light" w:hAnsi="SST Arabic Light" w:cs="SST Arabic Light"/>
          <w:sz w:val="24"/>
          <w:szCs w:val="24"/>
          <w:rtl/>
        </w:rPr>
      </w:pPr>
      <w:r w:rsidRPr="00EE5D39">
        <w:rPr>
          <w:rFonts w:ascii="SST Arabic Light" w:hAnsi="SST Arabic Light" w:cs="SST Arabic Light"/>
          <w:sz w:val="24"/>
          <w:szCs w:val="24"/>
          <w:rtl/>
        </w:rPr>
        <w:t>كمية التبغ الناشف أو المخمر: تقاس بوحدة الكيلوجرام.</w:t>
      </w:r>
    </w:p>
    <w:p w:rsidR="00EE5D39" w:rsidRPr="00EE5D39" w:rsidRDefault="00EE5D39" w:rsidP="00EE5D39">
      <w:pPr>
        <w:pStyle w:val="ListParagraph"/>
        <w:numPr>
          <w:ilvl w:val="0"/>
          <w:numId w:val="3"/>
        </w:numPr>
        <w:bidi/>
        <w:jc w:val="both"/>
        <w:rPr>
          <w:rFonts w:ascii="SST Arabic Light" w:hAnsi="SST Arabic Light" w:cs="SST Arabic Light"/>
          <w:sz w:val="24"/>
          <w:szCs w:val="24"/>
          <w:rtl/>
        </w:rPr>
      </w:pPr>
      <w:r w:rsidRPr="00EE5D39">
        <w:rPr>
          <w:rFonts w:ascii="SST Arabic Light" w:hAnsi="SST Arabic Light" w:cs="SST Arabic Light"/>
          <w:sz w:val="24"/>
          <w:szCs w:val="24"/>
          <w:rtl/>
        </w:rPr>
        <w:t>معال التخليط:</w:t>
      </w:r>
    </w:p>
    <w:p w:rsidR="00EE5D39" w:rsidRPr="00EE5D39" w:rsidRDefault="00EE5D39" w:rsidP="00EE5D39">
      <w:pPr>
        <w:pStyle w:val="ListParagraph"/>
        <w:numPr>
          <w:ilvl w:val="0"/>
          <w:numId w:val="4"/>
        </w:numPr>
        <w:bidi/>
        <w:jc w:val="both"/>
        <w:rPr>
          <w:rFonts w:ascii="SST Arabic Light" w:hAnsi="SST Arabic Light" w:cs="SST Arabic Light"/>
          <w:sz w:val="24"/>
          <w:szCs w:val="24"/>
        </w:rPr>
      </w:pPr>
      <w:r w:rsidRPr="00EE5D39">
        <w:rPr>
          <w:rFonts w:ascii="SST Arabic Light" w:hAnsi="SST Arabic Light" w:cs="SST Arabic Light"/>
          <w:sz w:val="24"/>
          <w:szCs w:val="24"/>
          <w:rtl/>
        </w:rPr>
        <w:t xml:space="preserve">التبغ المخمر= (1.62) كحد أدنى.    </w:t>
      </w:r>
    </w:p>
    <w:p w:rsidR="00EE5D39" w:rsidRPr="00EE5D39" w:rsidRDefault="00EE5D39" w:rsidP="00EE5D39">
      <w:pPr>
        <w:pStyle w:val="ListParagraph"/>
        <w:numPr>
          <w:ilvl w:val="0"/>
          <w:numId w:val="4"/>
        </w:numPr>
        <w:bidi/>
        <w:jc w:val="both"/>
        <w:rPr>
          <w:rFonts w:ascii="SST Arabic Light" w:hAnsi="SST Arabic Light" w:cs="SST Arabic Light"/>
          <w:sz w:val="24"/>
          <w:szCs w:val="24"/>
        </w:rPr>
      </w:pPr>
      <w:r w:rsidRPr="00EE5D39">
        <w:rPr>
          <w:rFonts w:ascii="SST Arabic Light" w:hAnsi="SST Arabic Light" w:cs="SST Arabic Light"/>
          <w:sz w:val="24"/>
          <w:szCs w:val="24"/>
          <w:rtl/>
        </w:rPr>
        <w:t>ب- التبغ الناشف= (4.5) كحد أدنى.</w:t>
      </w:r>
    </w:p>
    <w:p w:rsidR="00EE5D39" w:rsidRPr="00EE5D39" w:rsidRDefault="00EE5D39" w:rsidP="00EE5D39">
      <w:pPr>
        <w:pStyle w:val="ListParagraph"/>
        <w:numPr>
          <w:ilvl w:val="0"/>
          <w:numId w:val="5"/>
        </w:numPr>
        <w:bidi/>
        <w:jc w:val="both"/>
        <w:rPr>
          <w:rFonts w:ascii="SST Arabic Light" w:hAnsi="SST Arabic Light" w:cs="SST Arabic Light"/>
          <w:sz w:val="24"/>
          <w:szCs w:val="24"/>
        </w:rPr>
      </w:pPr>
      <w:r w:rsidRPr="00EE5D39">
        <w:rPr>
          <w:rFonts w:ascii="SST Arabic Light" w:hAnsi="SST Arabic Light" w:cs="SST Arabic Light"/>
          <w:sz w:val="24"/>
          <w:szCs w:val="24"/>
          <w:rtl/>
        </w:rPr>
        <w:t>سعر البيع للمنتج النهائي شامل الضريبة: سعر بيع التجزئة (للكيلوجرام) من المنتج النهائي في السوق شاملاً الضريبة.</w:t>
      </w:r>
    </w:p>
    <w:p w:rsidR="00EE5D39" w:rsidRDefault="00EE5D39" w:rsidP="00EE5D39">
      <w:pPr>
        <w:bidi/>
        <w:jc w:val="both"/>
        <w:rPr>
          <w:rFonts w:ascii="SST Arabic Light" w:hAnsi="SST Arabic Light" w:cs="SST Arabic Light"/>
          <w:sz w:val="24"/>
          <w:szCs w:val="24"/>
          <w:rtl/>
        </w:rPr>
      </w:pPr>
      <w:r w:rsidRPr="00EE5D39">
        <w:rPr>
          <w:rFonts w:ascii="SST Arabic Light" w:hAnsi="SST Arabic Light" w:cs="SST Arabic Light"/>
          <w:sz w:val="24"/>
          <w:szCs w:val="24"/>
          <w:rtl/>
        </w:rPr>
        <w:t>علماً أن الهيئة ستطبق الاحتساب وفقاً لهذه المعادلة في نظام الجمارك على هذه السلع، وفي حال كان المستورد يطبق معامل تخليط أعلى فيجب الإفصاح عن ذلك للهيئة العامة للجمارك وسداد الضريبة على هذا الأساس.</w:t>
      </w:r>
    </w:p>
    <w:p w:rsidR="00FC7858" w:rsidRPr="00FC7858" w:rsidRDefault="000E25BC" w:rsidP="00FC7858">
      <w:pPr>
        <w:bidi/>
        <w:jc w:val="both"/>
        <w:rPr>
          <w:rFonts w:ascii="SST Arabic Light" w:hAnsi="SST Arabic Light" w:cs="SST Arabic Light" w:hint="cs"/>
          <w:sz w:val="24"/>
          <w:szCs w:val="24"/>
          <w:rtl/>
        </w:rPr>
      </w:pPr>
      <w:r w:rsidRPr="000E25BC">
        <w:rPr>
          <w:rFonts w:ascii="SST Arabic Light" w:hAnsi="SST Arabic Light" w:cs="SST Arabic Light" w:hint="cs"/>
          <w:b/>
          <w:bCs/>
          <w:sz w:val="24"/>
          <w:szCs w:val="24"/>
          <w:rtl/>
        </w:rPr>
        <w:t>رابعاً</w:t>
      </w:r>
      <w:r>
        <w:rPr>
          <w:rFonts w:ascii="SST Arabic Light" w:hAnsi="SST Arabic Light" w:cs="SST Arabic Light" w:hint="cs"/>
          <w:sz w:val="24"/>
          <w:szCs w:val="24"/>
          <w:rtl/>
        </w:rPr>
        <w:t xml:space="preserve">: </w:t>
      </w:r>
      <w:r w:rsidR="00FC7858" w:rsidRPr="00FC7858">
        <w:rPr>
          <w:rFonts w:ascii="SST Arabic Light" w:hAnsi="SST Arabic Light" w:cs="SST Arabic Light" w:hint="cs"/>
          <w:sz w:val="24"/>
          <w:szCs w:val="24"/>
          <w:rtl/>
        </w:rPr>
        <w:t>قرار</w:t>
      </w:r>
      <w:r w:rsidR="00FC7858" w:rsidRPr="00FC7858">
        <w:rPr>
          <w:rFonts w:ascii="SST Arabic Light" w:hAnsi="SST Arabic Light" w:cs="SST Arabic Light" w:hint="cs"/>
          <w:b/>
          <w:bCs/>
          <w:sz w:val="24"/>
          <w:szCs w:val="24"/>
          <w:rtl/>
        </w:rPr>
        <w:t xml:space="preserve"> </w:t>
      </w:r>
      <w:r w:rsidR="00FC7858" w:rsidRPr="000E25BC">
        <w:rPr>
          <w:rFonts w:ascii="SST Arabic Light" w:hAnsi="SST Arabic Light" w:cs="SST Arabic Light" w:hint="cs"/>
          <w:sz w:val="24"/>
          <w:szCs w:val="24"/>
          <w:rtl/>
        </w:rPr>
        <w:t xml:space="preserve">مجلس إدارة الهيئة العامة للزكاة </w:t>
      </w:r>
      <w:r w:rsidR="00FC7858" w:rsidRPr="00FC7858">
        <w:rPr>
          <w:rFonts w:ascii="SST Arabic Light" w:hAnsi="SST Arabic Light" w:cs="SST Arabic Light" w:hint="cs"/>
          <w:sz w:val="24"/>
          <w:szCs w:val="24"/>
          <w:rtl/>
        </w:rPr>
        <w:t>والدخل</w:t>
      </w:r>
      <w:r w:rsidR="00FC7858" w:rsidRPr="00FC7858">
        <w:rPr>
          <w:rFonts w:ascii="SST Arabic Light" w:hAnsi="SST Arabic Light" w:cs="SST Arabic Light" w:hint="cs"/>
          <w:sz w:val="24"/>
          <w:szCs w:val="24"/>
          <w:rtl/>
        </w:rPr>
        <w:t xml:space="preserve"> رقم (3031</w:t>
      </w:r>
      <w:proofErr w:type="gramStart"/>
      <w:r w:rsidR="00FC7858" w:rsidRPr="00FC7858">
        <w:rPr>
          <w:rFonts w:ascii="SST Arabic Light" w:hAnsi="SST Arabic Light" w:cs="SST Arabic Light" w:hint="cs"/>
          <w:sz w:val="24"/>
          <w:szCs w:val="24"/>
          <w:rtl/>
        </w:rPr>
        <w:t>)  وتاريخ</w:t>
      </w:r>
      <w:proofErr w:type="gramEnd"/>
      <w:r w:rsidR="00FC7858" w:rsidRPr="00FC7858">
        <w:rPr>
          <w:rFonts w:ascii="SST Arabic Light" w:hAnsi="SST Arabic Light" w:cs="SST Arabic Light" w:hint="cs"/>
          <w:sz w:val="24"/>
          <w:szCs w:val="24"/>
          <w:rtl/>
        </w:rPr>
        <w:t>5/ 10/1440هـ الموافق 8/6/ 2019م،</w:t>
      </w:r>
      <w:r w:rsidR="00FC7858">
        <w:rPr>
          <w:rFonts w:ascii="SST Arabic Light" w:hAnsi="SST Arabic Light" w:cs="SST Arabic Light" w:hint="cs"/>
          <w:b/>
          <w:bCs/>
          <w:sz w:val="24"/>
          <w:szCs w:val="24"/>
          <w:rtl/>
        </w:rPr>
        <w:t xml:space="preserve"> </w:t>
      </w:r>
      <w:r w:rsidR="00FC7858" w:rsidRPr="000E25BC">
        <w:rPr>
          <w:rFonts w:ascii="SST Arabic Light" w:hAnsi="SST Arabic Light" w:cs="SST Arabic Light" w:hint="cs"/>
          <w:sz w:val="24"/>
          <w:szCs w:val="24"/>
          <w:rtl/>
        </w:rPr>
        <w:t>، والذي نص على</w:t>
      </w:r>
      <w:r w:rsidR="00FC7858">
        <w:rPr>
          <w:rFonts w:ascii="SST Arabic Light" w:hAnsi="SST Arabic Light" w:cs="SST Arabic Light" w:hint="cs"/>
          <w:sz w:val="24"/>
          <w:szCs w:val="24"/>
          <w:rtl/>
        </w:rPr>
        <w:t xml:space="preserve"> "</w:t>
      </w:r>
      <w:r w:rsidR="00FC7858" w:rsidRPr="00FC7858">
        <w:rPr>
          <w:rFonts w:ascii="SST Arabic Light" w:hAnsi="SST Arabic Light" w:cs="SST Arabic Light" w:hint="cs"/>
          <w:sz w:val="24"/>
          <w:szCs w:val="24"/>
          <w:rtl/>
        </w:rPr>
        <w:t>إن رئيس مجلس إدارة الهيئة العامة للزكاة والدخل بعد الاطلاع على قرار مجلس إدارة الهيئة</w:t>
      </w:r>
      <w:r w:rsidR="00FC7858" w:rsidRPr="00FC7858">
        <w:rPr>
          <w:rFonts w:ascii="SST Arabic Light" w:hAnsi="SST Arabic Light" w:cs="SST Arabic Light"/>
          <w:sz w:val="24"/>
          <w:szCs w:val="24"/>
        </w:rPr>
        <w:t> </w:t>
      </w:r>
      <w:r w:rsidR="00FC7858" w:rsidRPr="00FC7858">
        <w:rPr>
          <w:rFonts w:ascii="SST Arabic Light" w:hAnsi="SST Arabic Light" w:cs="SST Arabic Light" w:hint="cs"/>
          <w:sz w:val="24"/>
          <w:szCs w:val="24"/>
          <w:rtl/>
        </w:rPr>
        <w:t>رقم (2-3-19) وتاريخ 10/9/1440هـ الموافق 15/5/2019م القاضي في البند (أولاً) بالموافقة على تعديل اللائحة التنفيذية لنظام الضريبة الانتقائية.</w:t>
      </w:r>
    </w:p>
    <w:p w:rsidR="00FC7858" w:rsidRPr="00FC7858" w:rsidRDefault="00FC7858" w:rsidP="00FC7858">
      <w:pPr>
        <w:bidi/>
        <w:jc w:val="both"/>
        <w:rPr>
          <w:rFonts w:ascii="SST Arabic Light" w:hAnsi="SST Arabic Light" w:cs="SST Arabic Light" w:hint="cs"/>
          <w:sz w:val="24"/>
          <w:szCs w:val="24"/>
          <w:rtl/>
        </w:rPr>
      </w:pPr>
      <w:r w:rsidRPr="00FC7858">
        <w:rPr>
          <w:rFonts w:ascii="SST Arabic Light" w:hAnsi="SST Arabic Light" w:cs="SST Arabic Light" w:hint="cs"/>
          <w:sz w:val="24"/>
          <w:szCs w:val="24"/>
          <w:rtl/>
        </w:rPr>
        <w:t xml:space="preserve">وبناءً على الصلاحيات المخولة له في البند (ثانياً) من ذات القرار؛ </w:t>
      </w:r>
      <w:bookmarkStart w:id="0" w:name="_GoBack"/>
      <w:bookmarkEnd w:id="0"/>
      <w:r w:rsidRPr="00FC7858">
        <w:rPr>
          <w:rFonts w:ascii="SST Arabic Light" w:hAnsi="SST Arabic Light" w:cs="SST Arabic Light" w:hint="cs"/>
          <w:b/>
          <w:bCs/>
          <w:sz w:val="24"/>
          <w:szCs w:val="24"/>
          <w:rtl/>
        </w:rPr>
        <w:t>يقرر ما يلي:</w:t>
      </w:r>
    </w:p>
    <w:p w:rsidR="00FC7858" w:rsidRPr="00FC7858" w:rsidRDefault="00FC7858" w:rsidP="00FC7858">
      <w:pPr>
        <w:bidi/>
        <w:jc w:val="both"/>
        <w:rPr>
          <w:rFonts w:ascii="SST Arabic Light" w:hAnsi="SST Arabic Light" w:cs="SST Arabic Light" w:hint="cs"/>
          <w:sz w:val="24"/>
          <w:szCs w:val="24"/>
          <w:rtl/>
        </w:rPr>
      </w:pPr>
      <w:r w:rsidRPr="00FC7858">
        <w:rPr>
          <w:rFonts w:ascii="SST Arabic Light" w:hAnsi="SST Arabic Light" w:cs="SST Arabic Light" w:hint="cs"/>
          <w:sz w:val="24"/>
          <w:szCs w:val="24"/>
          <w:rtl/>
        </w:rPr>
        <w:t>أولاً</w:t>
      </w:r>
      <w:r w:rsidRPr="00FC7858">
        <w:rPr>
          <w:rFonts w:ascii="SST Arabic Light" w:hAnsi="SST Arabic Light" w:cs="SST Arabic Light" w:hint="cs"/>
          <w:b/>
          <w:bCs/>
          <w:sz w:val="24"/>
          <w:szCs w:val="24"/>
          <w:rtl/>
        </w:rPr>
        <w:t xml:space="preserve">: </w:t>
      </w:r>
      <w:r w:rsidRPr="00FC7858">
        <w:rPr>
          <w:rFonts w:ascii="SST Arabic Light" w:hAnsi="SST Arabic Light" w:cs="SST Arabic Light" w:hint="cs"/>
          <w:sz w:val="24"/>
          <w:szCs w:val="24"/>
          <w:rtl/>
        </w:rPr>
        <w:t>يسري العمل بأحكام اللائحة التنفيذية لنظام الضريبة الانتقائية - الصادرة بقرار مجلس إدارة الهيئة</w:t>
      </w:r>
      <w:r w:rsidRPr="00FC7858">
        <w:rPr>
          <w:rFonts w:ascii="SST Arabic Light" w:hAnsi="SST Arabic Light" w:cs="SST Arabic Light" w:hint="cs"/>
          <w:sz w:val="24"/>
          <w:szCs w:val="24"/>
        </w:rPr>
        <w:t xml:space="preserve"> </w:t>
      </w:r>
      <w:r w:rsidRPr="00FC7858">
        <w:rPr>
          <w:rFonts w:ascii="SST Arabic Light" w:hAnsi="SST Arabic Light" w:cs="SST Arabic Light" w:hint="cs"/>
          <w:sz w:val="24"/>
          <w:szCs w:val="24"/>
          <w:rtl/>
        </w:rPr>
        <w:t>رقم (9-1-17) وتاريخ 5/9/1438هـ المعدلة بقرار مجلس إدارة الهيئة رقم (2-3-19) وتاريخ 10/9/1440هـ الموافق 15/5/2019م -  فيما يتعلق بفرض الضريبة الانتقائية على المشروبات المحلاة بدءاً من تاريخ 1/12/2019م.</w:t>
      </w:r>
    </w:p>
    <w:p w:rsidR="00FC7858" w:rsidRDefault="00FC7858" w:rsidP="00FC7858">
      <w:pPr>
        <w:bidi/>
        <w:jc w:val="both"/>
        <w:rPr>
          <w:rFonts w:ascii="SST Arabic Light" w:hAnsi="SST Arabic Light" w:cs="SST Arabic Light"/>
          <w:sz w:val="24"/>
          <w:szCs w:val="24"/>
          <w:rtl/>
        </w:rPr>
      </w:pPr>
      <w:r w:rsidRPr="00FC7858">
        <w:rPr>
          <w:rFonts w:ascii="SST Arabic Light" w:hAnsi="SST Arabic Light" w:cs="SST Arabic Light" w:hint="cs"/>
          <w:sz w:val="24"/>
          <w:szCs w:val="24"/>
          <w:rtl/>
        </w:rPr>
        <w:lastRenderedPageBreak/>
        <w:t>ثانياً</w:t>
      </w:r>
      <w:r w:rsidRPr="00FC7858">
        <w:rPr>
          <w:rFonts w:ascii="SST Arabic Light" w:hAnsi="SST Arabic Light" w:cs="SST Arabic Light" w:hint="cs"/>
          <w:b/>
          <w:bCs/>
          <w:sz w:val="24"/>
          <w:szCs w:val="24"/>
          <w:rtl/>
        </w:rPr>
        <w:t xml:space="preserve">: </w:t>
      </w:r>
      <w:r w:rsidRPr="00FC7858">
        <w:rPr>
          <w:rFonts w:ascii="SST Arabic Light" w:hAnsi="SST Arabic Light" w:cs="SST Arabic Light" w:hint="cs"/>
          <w:sz w:val="24"/>
          <w:szCs w:val="24"/>
          <w:rtl/>
        </w:rPr>
        <w:t>ينشر هذا القرار في الجريدة الرسمية، ويبلغ لمن يلزم لتنفيذه.</w:t>
      </w:r>
      <w:r>
        <w:rPr>
          <w:rFonts w:ascii="SST Arabic Light" w:hAnsi="SST Arabic Light" w:cs="SST Arabic Light" w:hint="cs"/>
          <w:sz w:val="24"/>
          <w:szCs w:val="24"/>
          <w:rtl/>
        </w:rPr>
        <w:t>"</w:t>
      </w:r>
    </w:p>
    <w:p w:rsidR="000E25BC" w:rsidRPr="000E25BC" w:rsidRDefault="00FC7858" w:rsidP="00FC7858">
      <w:pPr>
        <w:jc w:val="both"/>
        <w:rPr>
          <w:rFonts w:ascii="SST Arabic Light" w:hAnsi="SST Arabic Light" w:cs="SST Arabic Light" w:hint="cs"/>
          <w:sz w:val="24"/>
          <w:szCs w:val="24"/>
          <w:rtl/>
        </w:rPr>
      </w:pPr>
      <w:r w:rsidRPr="00FC7858">
        <w:rPr>
          <w:rFonts w:ascii="SST Arabic Light" w:hAnsi="SST Arabic Light" w:cs="SST Arabic Light" w:hint="cs"/>
          <w:b/>
          <w:bCs/>
          <w:sz w:val="24"/>
          <w:szCs w:val="24"/>
          <w:rtl/>
        </w:rPr>
        <w:t>خامساً</w:t>
      </w:r>
      <w:r>
        <w:rPr>
          <w:rFonts w:ascii="SST Arabic Light" w:hAnsi="SST Arabic Light" w:cs="SST Arabic Light" w:hint="cs"/>
          <w:sz w:val="24"/>
          <w:szCs w:val="24"/>
          <w:rtl/>
        </w:rPr>
        <w:t xml:space="preserve">: </w:t>
      </w:r>
      <w:r w:rsidR="000E25BC" w:rsidRPr="000E25BC">
        <w:rPr>
          <w:rFonts w:ascii="SST Arabic Light" w:hAnsi="SST Arabic Light" w:cs="SST Arabic Light" w:hint="cs"/>
          <w:sz w:val="24"/>
          <w:szCs w:val="24"/>
          <w:rtl/>
        </w:rPr>
        <w:t>قرار مجلس إدارة الهيئة العامة للزكاة والدخل رق</w:t>
      </w:r>
      <w:r w:rsidR="000E25BC" w:rsidRPr="000E25BC">
        <w:rPr>
          <w:rFonts w:ascii="SST Arabic Light" w:hAnsi="SST Arabic Light" w:cs="SST Arabic Light" w:hint="eastAsia"/>
          <w:sz w:val="24"/>
          <w:szCs w:val="24"/>
          <w:rtl/>
        </w:rPr>
        <w:t>م</w:t>
      </w:r>
      <w:r w:rsidR="000E25BC" w:rsidRPr="000E25BC">
        <w:rPr>
          <w:rFonts w:ascii="SST Arabic Light" w:hAnsi="SST Arabic Light" w:cs="SST Arabic Light" w:hint="cs"/>
          <w:sz w:val="24"/>
          <w:szCs w:val="24"/>
          <w:rtl/>
        </w:rPr>
        <w:t xml:space="preserve"> (3-3-19) وتاريخ  09/10/1440هـ  الموافق 12/06/2019م، والذي نص على "إن مجلس إدارة الهيئة العامة للزكاة والدخل، بناءً على المادة (الخامسة) من تنظيم الهيئة العامة للزكاة والدخل الصادر بقرار مجلس الوزراء رقم (465) وتاريخ 20/7/1438هـ، وبناءً على المادة رقم (6) من الاتفاقية الموحدة للضريبة الانتقائية لدول مجلس التعاون لدول الخليج العربية، وبناءً على قرار المجلس رقم (9-1-17) وتاريخ 5/9/1438هـ القاضي بالموافقة على اللائحة التنفيذية لنظام الضريبة الانتقائية. وبعد الاطلاع على محضر الاجتماع الثامن بعد المائة للجنة التعاون المالي والاقتصادي بمجلس التعاون لدول الخليج العربية المنعقد بتاريخ 28/2/1440هـ الموافق 6/11/2018</w:t>
      </w:r>
      <w:proofErr w:type="gramStart"/>
      <w:r w:rsidR="000E25BC" w:rsidRPr="000E25BC">
        <w:rPr>
          <w:rFonts w:ascii="SST Arabic Light" w:hAnsi="SST Arabic Light" w:cs="SST Arabic Light" w:hint="cs"/>
          <w:sz w:val="24"/>
          <w:szCs w:val="24"/>
          <w:rtl/>
        </w:rPr>
        <w:t>م  في</w:t>
      </w:r>
      <w:proofErr w:type="gramEnd"/>
      <w:r w:rsidR="000E25BC" w:rsidRPr="000E25BC">
        <w:rPr>
          <w:rFonts w:ascii="SST Arabic Light" w:hAnsi="SST Arabic Light" w:cs="SST Arabic Light" w:hint="cs"/>
          <w:sz w:val="24"/>
          <w:szCs w:val="24"/>
          <w:rtl/>
        </w:rPr>
        <w:t xml:space="preserve"> الكويت. </w:t>
      </w:r>
      <w:r w:rsidR="000E25BC" w:rsidRPr="000E25BC">
        <w:rPr>
          <w:rFonts w:ascii="SST Arabic Light" w:hAnsi="SST Arabic Light" w:cs="SST Arabic Light" w:hint="cs"/>
          <w:b/>
          <w:bCs/>
          <w:sz w:val="24"/>
          <w:szCs w:val="24"/>
          <w:rtl/>
        </w:rPr>
        <w:t>يقرر ما يلي:</w:t>
      </w:r>
    </w:p>
    <w:p w:rsidR="000E25BC" w:rsidRPr="000E25BC" w:rsidRDefault="000E25BC" w:rsidP="000E25BC">
      <w:pPr>
        <w:bidi/>
        <w:jc w:val="both"/>
        <w:rPr>
          <w:rFonts w:ascii="SST Arabic Light" w:hAnsi="SST Arabic Light" w:cs="SST Arabic Light" w:hint="cs"/>
          <w:sz w:val="24"/>
          <w:szCs w:val="24"/>
          <w:rtl/>
        </w:rPr>
      </w:pPr>
      <w:r w:rsidRPr="000E25BC">
        <w:rPr>
          <w:rFonts w:ascii="SST Arabic Light" w:hAnsi="SST Arabic Light" w:cs="SST Arabic Light" w:hint="cs"/>
          <w:sz w:val="24"/>
          <w:szCs w:val="24"/>
          <w:rtl/>
        </w:rPr>
        <w:t>أولاً: الموافقة على وضع سعر معياري (حد أدنى) لكافة العلامات التجارية لمنتجات التبغ، باستثناء السيجار، لأغراض تحديد الوعاء الضريبي لاحتساب الضريبة الانتقائية المستحقة.</w:t>
      </w:r>
    </w:p>
    <w:p w:rsidR="000E25BC" w:rsidRPr="000E25BC" w:rsidRDefault="000E25BC" w:rsidP="000E25BC">
      <w:pPr>
        <w:bidi/>
        <w:jc w:val="both"/>
        <w:rPr>
          <w:rFonts w:ascii="SST Arabic Light" w:hAnsi="SST Arabic Light" w:cs="SST Arabic Light" w:hint="cs"/>
          <w:sz w:val="24"/>
          <w:szCs w:val="24"/>
          <w:rtl/>
        </w:rPr>
      </w:pPr>
      <w:r w:rsidRPr="000E25BC">
        <w:rPr>
          <w:rFonts w:ascii="SST Arabic Light" w:hAnsi="SST Arabic Light" w:cs="SST Arabic Light" w:hint="cs"/>
          <w:sz w:val="24"/>
          <w:szCs w:val="24"/>
          <w:rtl/>
        </w:rPr>
        <w:t xml:space="preserve">ثانياً: يكون السعر المعياري </w:t>
      </w:r>
      <w:proofErr w:type="gramStart"/>
      <w:r w:rsidRPr="000E25BC">
        <w:rPr>
          <w:rFonts w:ascii="SST Arabic Light" w:hAnsi="SST Arabic Light" w:cs="SST Arabic Light" w:hint="cs"/>
          <w:sz w:val="24"/>
          <w:szCs w:val="24"/>
          <w:rtl/>
        </w:rPr>
        <w:t>( الحد</w:t>
      </w:r>
      <w:proofErr w:type="gramEnd"/>
      <w:r w:rsidRPr="000E25BC">
        <w:rPr>
          <w:rFonts w:ascii="SST Arabic Light" w:hAnsi="SST Arabic Light" w:cs="SST Arabic Light" w:hint="cs"/>
          <w:sz w:val="24"/>
          <w:szCs w:val="24"/>
          <w:rtl/>
        </w:rPr>
        <w:t xml:space="preserve"> الأدنى) لكافة العلامات التجارية للسجائر هو (8 ريال سعودي) لعلبة السجائر التي تحتوي على (20 سيجارة)، و(25 ريال سعودي) للتبغ ( الشيشة، والتبغ الجاهز للاستخدام، والمنتجات الأخرى المماثلة) بمقدار (250جم)، مع الأخذ بالاعتبار تطبيق منهجية النسبة والتناسب عند احتساب الحد الأدنى لجميع منتجات التبغ.</w:t>
      </w:r>
    </w:p>
    <w:p w:rsidR="000E25BC" w:rsidRPr="000E25BC" w:rsidRDefault="000E25BC" w:rsidP="000E25BC">
      <w:pPr>
        <w:bidi/>
        <w:jc w:val="both"/>
        <w:rPr>
          <w:rFonts w:ascii="SST Arabic Light" w:hAnsi="SST Arabic Light" w:cs="SST Arabic Light" w:hint="cs"/>
          <w:sz w:val="24"/>
          <w:szCs w:val="24"/>
          <w:rtl/>
        </w:rPr>
      </w:pPr>
      <w:r w:rsidRPr="000E25BC">
        <w:rPr>
          <w:rFonts w:ascii="SST Arabic Light" w:hAnsi="SST Arabic Light" w:cs="SST Arabic Light" w:hint="cs"/>
          <w:sz w:val="24"/>
          <w:szCs w:val="24"/>
          <w:rtl/>
        </w:rPr>
        <w:t>ثالثاً: يسري العمل بهذا القرار من تاريخ 4/4/1441هـ الموافق 1/12/2019م.</w:t>
      </w:r>
    </w:p>
    <w:p w:rsidR="000E25BC" w:rsidRPr="000E25BC" w:rsidRDefault="000E25BC" w:rsidP="000E25BC">
      <w:pPr>
        <w:bidi/>
        <w:jc w:val="both"/>
        <w:rPr>
          <w:rFonts w:ascii="SST Arabic Light" w:hAnsi="SST Arabic Light" w:cs="SST Arabic Light" w:hint="cs"/>
          <w:sz w:val="24"/>
          <w:szCs w:val="24"/>
          <w:rtl/>
        </w:rPr>
      </w:pPr>
      <w:r w:rsidRPr="000E25BC">
        <w:rPr>
          <w:rFonts w:ascii="SST Arabic Light" w:hAnsi="SST Arabic Light" w:cs="SST Arabic Light" w:hint="cs"/>
          <w:sz w:val="24"/>
          <w:szCs w:val="24"/>
          <w:rtl/>
        </w:rPr>
        <w:t>رابعاً: ينشر هذا القرار في الجريدة الرسمية، ويبلغ لمن يلزم لتنفيذه.</w:t>
      </w:r>
    </w:p>
    <w:p w:rsidR="000E25BC" w:rsidRPr="00EE5D39" w:rsidRDefault="000E25BC" w:rsidP="000E25BC">
      <w:pPr>
        <w:bidi/>
        <w:jc w:val="both"/>
        <w:rPr>
          <w:rFonts w:ascii="SST Arabic Light" w:hAnsi="SST Arabic Light" w:cs="SST Arabic Light"/>
          <w:sz w:val="24"/>
          <w:szCs w:val="24"/>
        </w:rPr>
      </w:pPr>
    </w:p>
    <w:p w:rsidR="00DF2500" w:rsidRDefault="00FA1172"/>
    <w:sectPr w:rsidR="00DF2500" w:rsidSect="00EE5D39">
      <w:headerReference w:type="default" r:id="rId7"/>
      <w:pgSz w:w="12240" w:h="15840"/>
      <w:pgMar w:top="324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172" w:rsidRDefault="00FA1172" w:rsidP="00EE5D39">
      <w:r>
        <w:separator/>
      </w:r>
    </w:p>
  </w:endnote>
  <w:endnote w:type="continuationSeparator" w:id="0">
    <w:p w:rsidR="00FA1172" w:rsidRDefault="00FA1172" w:rsidP="00EE5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ST Arabic">
    <w:panose1 w:val="020B0504030504020204"/>
    <w:charset w:val="00"/>
    <w:family w:val="swiss"/>
    <w:pitch w:val="variable"/>
    <w:sig w:usb0="80002027" w:usb1="80000000" w:usb2="00000008" w:usb3="00000000" w:csb0="0000004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ST Arabic Light">
    <w:panose1 w:val="020B0304030504020204"/>
    <w:charset w:val="00"/>
    <w:family w:val="swiss"/>
    <w:pitch w:val="variable"/>
    <w:sig w:usb0="80002027" w:usb1="80000000" w:usb2="00000008" w:usb3="00000000" w:csb0="00000041"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172" w:rsidRDefault="00FA1172" w:rsidP="00EE5D39">
      <w:r>
        <w:separator/>
      </w:r>
    </w:p>
  </w:footnote>
  <w:footnote w:type="continuationSeparator" w:id="0">
    <w:p w:rsidR="00FA1172" w:rsidRDefault="00FA1172" w:rsidP="00EE5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D39" w:rsidRDefault="00EE5D39" w:rsidP="00EE5D39">
    <w:pPr>
      <w:pStyle w:val="Header"/>
      <w:jc w:val="center"/>
    </w:pPr>
    <w:r w:rsidRPr="007813EF">
      <w:rPr>
        <w:rFonts w:ascii="SST Arabic" w:hAnsi="SST Arabic" w:cs="SST Arabic"/>
        <w:noProof/>
        <w:sz w:val="24"/>
        <w:szCs w:val="24"/>
        <w:rtl/>
      </w:rPr>
      <w:drawing>
        <wp:anchor distT="0" distB="0" distL="114300" distR="114300" simplePos="0" relativeHeight="251659264" behindDoc="0" locked="0" layoutInCell="1" allowOverlap="1" wp14:anchorId="08FF3D61" wp14:editId="42E26E7B">
          <wp:simplePos x="0" y="0"/>
          <wp:positionH relativeFrom="column">
            <wp:posOffset>1528549</wp:posOffset>
          </wp:positionH>
          <wp:positionV relativeFrom="paragraph">
            <wp:posOffset>27513</wp:posOffset>
          </wp:positionV>
          <wp:extent cx="2702560" cy="1349375"/>
          <wp:effectExtent l="0" t="0" r="254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هوي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2560" cy="13493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F5BA1"/>
    <w:multiLevelType w:val="hybridMultilevel"/>
    <w:tmpl w:val="59B8465A"/>
    <w:lvl w:ilvl="0" w:tplc="5ECAC77E">
      <w:start w:val="1"/>
      <w:numFmt w:val="decimal"/>
      <w:lvlText w:val="%1-"/>
      <w:lvlJc w:val="left"/>
      <w:pPr>
        <w:ind w:left="720" w:hanging="360"/>
      </w:pPr>
      <w:rPr>
        <w:rFonts w:ascii="SST Arabic" w:eastAsia="Times New Roman" w:hAnsi="SST Arabic" w:cs="SST Arabic"/>
        <w:b w:val="0"/>
        <w:bCs w:val="0"/>
        <w:color w:val="1F497D"/>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6434240"/>
    <w:multiLevelType w:val="hybridMultilevel"/>
    <w:tmpl w:val="B2BC5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D185138"/>
    <w:multiLevelType w:val="hybridMultilevel"/>
    <w:tmpl w:val="1E946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6715219"/>
    <w:multiLevelType w:val="hybridMultilevel"/>
    <w:tmpl w:val="278A6412"/>
    <w:lvl w:ilvl="0" w:tplc="97702584">
      <w:start w:val="1"/>
      <w:numFmt w:val="decimal"/>
      <w:lvlText w:val="%1-"/>
      <w:lvlJc w:val="left"/>
      <w:pPr>
        <w:ind w:left="1080" w:hanging="360"/>
      </w:pPr>
      <w:rPr>
        <w:rFonts w:ascii="SST Arabic" w:eastAsia="Calibri" w:hAnsi="SST Arabic" w:cs="SST Arabic"/>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7D9F15F8"/>
    <w:multiLevelType w:val="hybridMultilevel"/>
    <w:tmpl w:val="DCDA2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D39"/>
    <w:rsid w:val="000E25BC"/>
    <w:rsid w:val="002A65E5"/>
    <w:rsid w:val="006C3E3E"/>
    <w:rsid w:val="00812E13"/>
    <w:rsid w:val="00A5353F"/>
    <w:rsid w:val="00A8189B"/>
    <w:rsid w:val="00C574A4"/>
    <w:rsid w:val="00C773F8"/>
    <w:rsid w:val="00EE5D39"/>
    <w:rsid w:val="00FA1172"/>
    <w:rsid w:val="00FC7858"/>
    <w:rsid w:val="00FD7D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1DF2D"/>
  <w15:chartTrackingRefBased/>
  <w15:docId w15:val="{99CC0B24-5E64-4CA8-B4D2-5E5709D2F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ST Arabic" w:eastAsiaTheme="minorHAnsi" w:hAnsi="SST Arabic" w:cs="SST Arabic"/>
        <w:color w:val="333333"/>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D39"/>
    <w:pPr>
      <w:spacing w:after="0" w:line="240" w:lineRule="auto"/>
    </w:pPr>
    <w:rPr>
      <w:rFonts w:ascii="Calibri" w:hAnsi="Calibri" w:cs="Calibri"/>
      <w:color w:val="auto"/>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EE5D39"/>
  </w:style>
  <w:style w:type="paragraph" w:styleId="NoSpacing">
    <w:name w:val="No Spacing"/>
    <w:basedOn w:val="Normal"/>
    <w:link w:val="NoSpacingChar"/>
    <w:uiPriority w:val="1"/>
    <w:qFormat/>
    <w:rsid w:val="00EE5D39"/>
    <w:rPr>
      <w:rFonts w:ascii="SST Arabic" w:hAnsi="SST Arabic" w:cs="SST Arabic"/>
      <w:color w:val="333333"/>
      <w:sz w:val="20"/>
      <w:szCs w:val="20"/>
    </w:rPr>
  </w:style>
  <w:style w:type="paragraph" w:styleId="ListParagraph">
    <w:name w:val="List Paragraph"/>
    <w:basedOn w:val="Normal"/>
    <w:uiPriority w:val="34"/>
    <w:qFormat/>
    <w:rsid w:val="00EE5D39"/>
    <w:pPr>
      <w:ind w:left="720"/>
    </w:pPr>
  </w:style>
  <w:style w:type="paragraph" w:styleId="Header">
    <w:name w:val="header"/>
    <w:basedOn w:val="Normal"/>
    <w:link w:val="HeaderChar"/>
    <w:uiPriority w:val="99"/>
    <w:unhideWhenUsed/>
    <w:rsid w:val="00EE5D39"/>
    <w:pPr>
      <w:tabs>
        <w:tab w:val="center" w:pos="4320"/>
        <w:tab w:val="right" w:pos="8640"/>
      </w:tabs>
    </w:pPr>
  </w:style>
  <w:style w:type="character" w:customStyle="1" w:styleId="HeaderChar">
    <w:name w:val="Header Char"/>
    <w:basedOn w:val="DefaultParagraphFont"/>
    <w:link w:val="Header"/>
    <w:uiPriority w:val="99"/>
    <w:rsid w:val="00EE5D39"/>
    <w:rPr>
      <w:rFonts w:ascii="Calibri" w:hAnsi="Calibri" w:cs="Calibri"/>
      <w:color w:val="auto"/>
      <w:sz w:val="22"/>
      <w:szCs w:val="22"/>
    </w:rPr>
  </w:style>
  <w:style w:type="paragraph" w:styleId="Footer">
    <w:name w:val="footer"/>
    <w:basedOn w:val="Normal"/>
    <w:link w:val="FooterChar"/>
    <w:uiPriority w:val="99"/>
    <w:unhideWhenUsed/>
    <w:rsid w:val="00EE5D39"/>
    <w:pPr>
      <w:tabs>
        <w:tab w:val="center" w:pos="4320"/>
        <w:tab w:val="right" w:pos="8640"/>
      </w:tabs>
    </w:pPr>
  </w:style>
  <w:style w:type="character" w:customStyle="1" w:styleId="FooterChar">
    <w:name w:val="Footer Char"/>
    <w:basedOn w:val="DefaultParagraphFont"/>
    <w:link w:val="Footer"/>
    <w:uiPriority w:val="99"/>
    <w:rsid w:val="00EE5D39"/>
    <w:rPr>
      <w:rFonts w:ascii="Calibr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71326">
      <w:bodyDiv w:val="1"/>
      <w:marLeft w:val="0"/>
      <w:marRight w:val="0"/>
      <w:marTop w:val="0"/>
      <w:marBottom w:val="0"/>
      <w:divBdr>
        <w:top w:val="none" w:sz="0" w:space="0" w:color="auto"/>
        <w:left w:val="none" w:sz="0" w:space="0" w:color="auto"/>
        <w:bottom w:val="none" w:sz="0" w:space="0" w:color="auto"/>
        <w:right w:val="none" w:sz="0" w:space="0" w:color="auto"/>
      </w:divBdr>
    </w:div>
    <w:div w:id="172232412">
      <w:bodyDiv w:val="1"/>
      <w:marLeft w:val="0"/>
      <w:marRight w:val="0"/>
      <w:marTop w:val="0"/>
      <w:marBottom w:val="0"/>
      <w:divBdr>
        <w:top w:val="none" w:sz="0" w:space="0" w:color="auto"/>
        <w:left w:val="none" w:sz="0" w:space="0" w:color="auto"/>
        <w:bottom w:val="none" w:sz="0" w:space="0" w:color="auto"/>
        <w:right w:val="none" w:sz="0" w:space="0" w:color="auto"/>
      </w:divBdr>
    </w:div>
    <w:div w:id="658577496">
      <w:bodyDiv w:val="1"/>
      <w:marLeft w:val="0"/>
      <w:marRight w:val="0"/>
      <w:marTop w:val="0"/>
      <w:marBottom w:val="0"/>
      <w:divBdr>
        <w:top w:val="none" w:sz="0" w:space="0" w:color="auto"/>
        <w:left w:val="none" w:sz="0" w:space="0" w:color="auto"/>
        <w:bottom w:val="none" w:sz="0" w:space="0" w:color="auto"/>
        <w:right w:val="none" w:sz="0" w:space="0" w:color="auto"/>
      </w:divBdr>
    </w:div>
    <w:div w:id="108865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667</Words>
  <Characters>3805</Characters>
  <Application>Microsoft Office Word</Application>
  <DocSecurity>0</DocSecurity>
  <Lines>31</Lines>
  <Paragraphs>8</Paragraphs>
  <ScaleCrop>false</ScaleCrop>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Tariq H. Aljarba</dc:creator>
  <cp:keywords/>
  <dc:description/>
  <cp:lastModifiedBy>Tariq H. Aljarba</cp:lastModifiedBy>
  <cp:revision>3</cp:revision>
  <cp:lastPrinted>2019-03-24T05:53:00Z</cp:lastPrinted>
  <dcterms:created xsi:type="dcterms:W3CDTF">2019-06-27T10:16:00Z</dcterms:created>
  <dcterms:modified xsi:type="dcterms:W3CDTF">2019-06-27T10:22:00Z</dcterms:modified>
</cp:coreProperties>
</file>